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left w:val="none"/>
          <w:bottom w:val="none"/>
          <w:right w:val="none"/>
          <w:insideH w:val="none"/>
          <w:insideV w:val="none"/>
        </w:tblBorders>
        <w:tblLayout w:type="fixed"/>
      </w:tblPr>
      <w:tblGrid>
        <w:gridCol w:w="11906"/>
      </w:tblGrid>
      <w:tr>
        <w:trPr>
          <w:trHeight w:val="16838" w:hRule="exact"/>
        </w:trPr>
        <w:tc>
          <w:tcPr>
            <w:tcBorders>
              <w:top w:val="none"/>
              <w:left w:val="none"/>
              <w:bottom w:val="none"/>
              <w:right w:val="none"/>
            </w:tcBorders>
            <w:shd w:fill="0B1C2C" w:val="clear"/>
          </w:tcPr>
          <w:p>
            <w:pPr>
              <w:spacing w:before="4092"/>
            </w:pPr>
          </w:p>
          <w:p>
            <w:pPr>
              <w:pBdr>
                <w:bottom w:val="single" w:color="C0392B" w:sz="6" w:space="8"/>
              </w:pBdr>
              <w:spacing w:after="500"/>
              <w:ind w:left="1200" w:right="800"/>
            </w:pPr>
            <w:r>
              <w:rPr>
                <w:rFonts w:ascii="Arial" w:cs="Arial" w:eastAsia="Arial" w:hAnsi="Arial"/>
                <w:color w:val="C0392B"/>
                <w:spacing w:val="40"/>
                <w:sz w:val="18"/>
                <w:szCs w:val="18"/>
              </w:rPr>
              <w:t xml:space="preserve">R  I  S  K     A  S  S  E  S  S  M  E  N  T     R  E  P  O  R  T</w:t>
            </w:r>
          </w:p>
          <w:p>
            <w:pPr>
              <w:spacing w:after="100" w:line="920" w:lineRule="atLeast"/>
              <w:ind w:left="1200"/>
            </w:pPr>
            <w:r>
              <w:rPr>
                <w:rFonts w:ascii="Arial" w:cs="Arial" w:eastAsia="Arial" w:hAnsi="Arial"/>
                <w:b/>
                <w:bCs/>
                <w:color w:val="FFFFFF"/>
                <w:sz w:val="80"/>
                <w:szCs w:val="80"/>
              </w:rPr>
              <w:t xml:space="preserve">Проверка платформ</w:t>
            </w:r>
          </w:p>
          <w:p>
            <w:pPr>
              <w:spacing w:after="300" w:line="920" w:lineRule="atLeast"/>
              <w:ind w:left="1200"/>
            </w:pPr>
            <w:r>
              <w:rPr>
                <w:rFonts w:ascii="Arial" w:cs="Arial" w:eastAsia="Arial" w:hAnsi="Arial"/>
                <w:b/>
                <w:bCs/>
                <w:color w:val="FFFFFF"/>
                <w:sz w:val="80"/>
                <w:szCs w:val="80"/>
              </w:rPr>
              <w:t xml:space="preserve">GOLDDEK и Тап Ворк</w:t>
            </w:r>
          </w:p>
          <w:p>
            <w:pPr>
              <w:spacing w:after="800" w:line="320" w:lineRule="atLeast"/>
              <w:ind w:left="1200" w:right="800"/>
            </w:pPr>
            <w:r>
              <w:rPr>
                <w:rFonts w:ascii="Arial" w:cs="Arial" w:eastAsia="Arial" w:hAnsi="Arial"/>
                <w:color w:val="B0B8C0"/>
                <w:sz w:val="24"/>
                <w:szCs w:val="24"/>
              </w:rPr>
              <w:t xml:space="preserve">Экспресс-досье по открытым источникам: схема выплат, юридический след, репутация, признаки финансовой пирамиды</w:t>
            </w:r>
          </w:p>
          <w:p>
            <w:pPr>
              <w:pBdr>
                <w:left w:val="single" w:color="C0392B" w:sz="8" w:space="12"/>
              </w:pBdr>
              <w:spacing w:after="80"/>
              <w:ind w:left="1400" w:right="800"/>
            </w:pPr>
            <w:r>
              <w:rPr>
                <w:rFonts w:ascii="Arial" w:cs="Arial" w:eastAsia="Arial" w:hAnsi="Arial"/>
                <w:color w:val="9AA6B2"/>
                <w:sz w:val="22"/>
                <w:szCs w:val="22"/>
              </w:rPr>
              <w:t xml:space="preserve">Объекты: golddek.com · tapwork.ru · myschool.team</w:t>
            </w:r>
          </w:p>
          <w:p>
            <w:pPr>
              <w:pBdr>
                <w:left w:val="single" w:color="C0392B" w:sz="8" w:space="12"/>
              </w:pBdr>
              <w:spacing w:after="80"/>
              <w:ind w:left="1400" w:right="800"/>
            </w:pPr>
            <w:r>
              <w:rPr>
                <w:rFonts w:ascii="Arial" w:cs="Arial" w:eastAsia="Arial" w:hAnsi="Arial"/>
                <w:color w:val="9AA6B2"/>
                <w:sz w:val="22"/>
                <w:szCs w:val="22"/>
              </w:rPr>
              <w:t xml:space="preserve">Юрлица: ООО «ЛЮМИНАР ТЕХНОЛОДЖИС» · ООО «ДЕК ГОЛДДЕК ГРУПП»</w:t>
            </w:r>
          </w:p>
          <w:p>
            <w:pPr>
              <w:pBdr>
                <w:left w:val="single" w:color="C0392B" w:sz="8" w:space="12"/>
              </w:pBdr>
              <w:spacing w:after="80"/>
              <w:ind w:left="1400" w:right="800"/>
            </w:pPr>
            <w:r>
              <w:rPr>
                <w:rFonts w:ascii="Arial" w:cs="Arial" w:eastAsia="Arial" w:hAnsi="Arial"/>
                <w:color w:val="9AA6B2"/>
                <w:sz w:val="22"/>
                <w:szCs w:val="22"/>
              </w:rPr>
              <w:t xml:space="preserve">Основание: официальные документы проекта, реестры, WHOIS, отзывы</w:t>
            </w:r>
          </w:p>
          <w:p>
            <w:pPr>
              <w:pBdr>
                <w:left w:val="single" w:color="C0392B" w:sz="8" w:space="12"/>
              </w:pBdr>
              <w:spacing w:after="80"/>
              <w:ind w:left="1400" w:right="800"/>
            </w:pPr>
            <w:r>
              <w:rPr>
                <w:rFonts w:ascii="Arial" w:cs="Arial" w:eastAsia="Arial" w:hAnsi="Arial"/>
                <w:color w:val="9AA6B2"/>
                <w:sz w:val="22"/>
                <w:szCs w:val="22"/>
              </w:rPr>
              <w:t xml:space="preserve">Дата отчёта: 1 ноября 2026 г.</w:t>
            </w:r>
          </w:p>
          <w:p>
            <w:pPr>
              <w:spacing w:before="4092"/>
            </w:pPr>
          </w:p>
          <w:p>
            <w:pPr>
              <w:pBdr>
                <w:top w:val="single" w:color="C0392B" w:sz="2" w:space="8"/>
              </w:pBdr>
              <w:spacing w:before="200"/>
              <w:ind w:left="1200" w:right="800"/>
            </w:pPr>
            <w:r>
              <w:rPr>
                <w:rFonts w:ascii="Arial" w:cs="Arial" w:eastAsia="Arial" w:hAnsi="Arial"/>
                <w:color w:val="687078"/>
                <w:sz w:val="16"/>
                <w:szCs w:val="16"/>
              </w:rPr>
              <w:t xml:space="preserve">Подготовлено по открытым источникам</w:t>
            </w:r>
            <w:r>
              <w:t xml:space="preserve">                                                            </w:t>
            </w:r>
            <w:r>
              <w:rPr>
                <w:rFonts w:ascii="Arial" w:cs="Arial" w:eastAsia="Arial" w:hAnsi="Arial"/>
                <w:color w:val="687078"/>
                <w:sz w:val="16"/>
                <w:szCs w:val="16"/>
              </w:rPr>
              <w:t xml:space="preserve">01.11.2026</w:t>
            </w:r>
          </w:p>
        </w:tc>
      </w:tr>
    </w:tbl>
    <w:p>
      <w:pPr>
        <w:sectPr>
          <w:pgSz w:w="11906" w:h="16838" w:orient="portrait"/>
          <w:pgMar w:top="0" w:right="0" w:bottom="0" w:left="0" w:header="708" w:footer="708" w:gutter="0"/>
          <w:pgNumType/>
          <w:docGrid w:linePitch="360"/>
        </w:sectPr>
      </w:pPr>
    </w:p>
    <w:p>
      <w:pPr>
        <w:pStyle w:val="Heading1"/>
        <w:spacing w:after="120" w:before="240" w:line="312"/>
      </w:pPr>
      <w:r>
        <w:rPr>
          <w:rFonts w:ascii="Arial" w:cs="Arial" w:eastAsia="Arial" w:hAnsi="Arial"/>
          <w:b/>
          <w:bCs/>
          <w:color w:val="1F3A5F"/>
          <w:sz w:val="30"/>
          <w:szCs w:val="30"/>
        </w:rPr>
        <w:t xml:space="preserve">1. Резюме и вердикт</w:t>
      </w:r>
    </w:p>
    <w:tbl>
      <w:tblPr>
        <w:tblW w:type="pct" w:w="5000"/>
        <w:tblBorders>
          <w:top w:val="none"/>
          <w:left w:val="single" w:color="C0392B" w:sz="24"/>
          <w:bottom w:val="none"/>
          <w:right w:val="none"/>
          <w:insideH w:val="none"/>
          <w:insideV w:val="none"/>
        </w:tblBorders>
      </w:tblPr>
      <w:tblGrid>
        <w:gridCol w:w="8788"/>
      </w:tblGrid>
      <w:tr>
        <w:trPr>
          <w:cantSplit/>
        </w:trPr>
        <w:tc>
          <w:tcPr>
            <w:tcW w:type="pct" w:w="5000"/>
            <w:shd w:fill="FBEAE8" w:val="clear"/>
            <w:tcMar>
              <w:top w:type="dxa" w:w="110"/>
              <w:left w:type="dxa" w:w="180"/>
              <w:bottom w:type="dxa" w:w="110"/>
              <w:right w:type="dxa" w:w="150"/>
            </w:tcMar>
          </w:tcPr>
          <w:p>
            <w:pPr>
              <w:spacing w:after="60" w:line="312"/>
            </w:pPr>
            <w:r>
              <w:rPr>
                <w:rFonts w:ascii="Arial" w:cs="Arial" w:eastAsia="Arial" w:hAnsi="Arial"/>
                <w:b/>
                <w:bCs/>
                <w:color w:val="C0392B"/>
                <w:sz w:val="24"/>
                <w:szCs w:val="24"/>
              </w:rPr>
              <w:t xml:space="preserve">ВЕРДИКТ: ВЫСОКИЙ РИСК — не переводить деньги</w:t>
            </w:r>
          </w:p>
          <w:p>
            <w:pPr>
              <w:spacing w:line="312"/>
              <w:jc w:val="both"/>
            </w:pPr>
            <w:r>
              <w:rPr>
                <w:rFonts w:ascii="Arial" w:cs="Arial" w:eastAsia="Arial" w:hAnsi="Arial"/>
                <w:b w:val="false"/>
                <w:bCs w:val="false"/>
                <w:i w:val="false"/>
                <w:iCs w:val="false"/>
                <w:color w:val="000000"/>
                <w:sz w:val="22"/>
                <w:szCs w:val="22"/>
              </w:rPr>
              <w:t xml:space="preserve">Проект GOLDDEK («Мерчант-портал», golddek.com) вместе с подключёнными продуктами Тап Ворк (tapwork.ru) и MySchool.team соответствует 8 из 8 типовых признаков финансовой пирамиды по разъяснениям Банка России: платный вход, доход участников формируется за счёт оплат привлечённых людей по многуровневой реферальной схеме, обещается «пассивный доход», возврат средств по оферте фактически исключён. До проверки правоохранительными органами или Банком России относиться к вложениям сюда следует как к возможной полной потере денег.</w:t>
            </w:r>
          </w:p>
        </w:tc>
      </w:tr>
    </w:tbl>
    <w:p>
      <w:pPr>
        <w:spacing w:after="60" w:before="140" w:line="312"/>
      </w:pPr>
      <w:r>
        <w:rPr>
          <w:rFonts w:ascii="Times New Roman" w:cs="Times New Roman" w:eastAsia="Times New Roman" w:hAnsi="Times New Roman"/>
          <w:b/>
          <w:bCs/>
          <w:color w:val="000000"/>
          <w:sz w:val="24"/>
          <w:szCs w:val="24"/>
        </w:rPr>
        <w:t xml:space="preserve">Пять ключевых фактов проверки:</w:t>
      </w:r>
    </w:p>
    <w:p>
      <w:pPr>
        <w:pStyle w:val="ListParagraph"/>
        <w:numPr>
          <w:ilvl w:val="0"/>
          <w:numId w:val="2"/>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Оба сайта — одна группа: golddek.com и tapwork.ru указывают одно юрлицо ООО «ЛЮМИНАР ТЕХНОЛОДЖИС» (ИНН 5919035168), обучение ведёт ООО «ДЕК ГОЛДДЕК ГРУПП» (ИНН 5911083064); обе компании — из Березников Пермского края, уставный капитал 10–15 тыс. руб., штат по данным ФНС — 0 человек.</w:t>
      </w:r>
    </w:p>
    <w:p>
      <w:pPr>
        <w:pStyle w:val="ListParagraph"/>
        <w:numPr>
          <w:ilvl w:val="0"/>
          <w:numId w:val="2"/>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На golddek.com продаётся </w:t>
      </w:r>
      <w:r>
        <w:rPr>
          <w:rFonts w:ascii="Times New Roman" w:cs="Times New Roman" w:eastAsia="Times New Roman" w:hAnsi="Times New Roman"/>
          <w:b/>
          <w:bCs/>
          <w:i w:val="false"/>
          <w:iCs w:val="false"/>
          <w:color w:val="000000"/>
          <w:sz w:val="24"/>
          <w:szCs w:val="24"/>
        </w:rPr>
        <w:t xml:space="preserve">доступ за 7 250 руб. в месяц</w:t>
      </w:r>
      <w:r>
        <w:rPr>
          <w:rFonts w:ascii="Times New Roman" w:cs="Times New Roman" w:eastAsia="Times New Roman" w:hAnsi="Times New Roman"/>
          <w:b w:val="false"/>
          <w:bCs w:val="false"/>
          <w:i w:val="false"/>
          <w:iCs w:val="false"/>
          <w:color w:val="000000"/>
          <w:sz w:val="24"/>
          <w:szCs w:val="24"/>
        </w:rPr>
        <w:t xml:space="preserve"> либо «бессрочный доступ» за </w:t>
      </w:r>
      <w:r>
        <w:rPr>
          <w:rFonts w:ascii="Times New Roman" w:cs="Times New Roman" w:eastAsia="Times New Roman" w:hAnsi="Times New Roman"/>
          <w:b/>
          <w:bCs/>
          <w:i w:val="false"/>
          <w:iCs w:val="false"/>
          <w:color w:val="000000"/>
          <w:sz w:val="24"/>
          <w:szCs w:val="24"/>
        </w:rPr>
        <w:t xml:space="preserve">120 000 руб.</w:t>
      </w:r>
      <w:r>
        <w:rPr>
          <w:rFonts w:ascii="Times New Roman" w:cs="Times New Roman" w:eastAsia="Times New Roman" w:hAnsi="Times New Roman"/>
          <w:b w:val="false"/>
          <w:bCs w:val="false"/>
          <w:i w:val="false"/>
          <w:iCs w:val="false"/>
          <w:color w:val="000000"/>
          <w:sz w:val="24"/>
          <w:szCs w:val="24"/>
        </w:rPr>
        <w:t xml:space="preserve"> (акция — 108 000 руб.), причём оферта допускает оплату </w:t>
      </w:r>
      <w:r>
        <w:rPr>
          <w:rFonts w:ascii="Times New Roman" w:cs="Times New Roman" w:eastAsia="Times New Roman" w:hAnsi="Times New Roman"/>
          <w:b/>
          <w:bCs/>
          <w:i w:val="false"/>
          <w:iCs w:val="false"/>
          <w:color w:val="000000"/>
          <w:sz w:val="24"/>
          <w:szCs w:val="24"/>
        </w:rPr>
        <w:t xml:space="preserve">в кредит</w:t>
      </w:r>
      <w:r>
        <w:rPr>
          <w:rFonts w:ascii="Times New Roman" w:cs="Times New Roman" w:eastAsia="Times New Roman" w:hAnsi="Times New Roman"/>
          <w:b w:val="false"/>
          <w:bCs w:val="false"/>
          <w:i w:val="false"/>
          <w:iCs w:val="false"/>
          <w:color w:val="000000"/>
          <w:sz w:val="24"/>
          <w:szCs w:val="24"/>
        </w:rPr>
        <w:t xml:space="preserve"> через стороннюю финансовую организацию, а возврат денег фактически исключён.</w:t>
      </w:r>
    </w:p>
    <w:p>
      <w:pPr>
        <w:pStyle w:val="ListParagraph"/>
        <w:numPr>
          <w:ilvl w:val="0"/>
          <w:numId w:val="2"/>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Официальный «Маркетинг-план» (PDF, 28 стр.) описывает сетевую (MLM) структуру: реферальная линейка </w:t>
      </w:r>
      <w:r>
        <w:rPr>
          <w:rFonts w:ascii="Times New Roman" w:cs="Times New Roman" w:eastAsia="Times New Roman" w:hAnsi="Times New Roman"/>
          <w:b/>
          <w:bCs/>
          <w:i w:val="false"/>
          <w:iCs w:val="false"/>
          <w:color w:val="000000"/>
          <w:sz w:val="24"/>
          <w:szCs w:val="24"/>
        </w:rPr>
        <w:t xml:space="preserve">до 20 уровней</w:t>
      </w:r>
      <w:r>
        <w:rPr>
          <w:rFonts w:ascii="Times New Roman" w:cs="Times New Roman" w:eastAsia="Times New Roman" w:hAnsi="Times New Roman"/>
          <w:b w:val="false"/>
          <w:bCs w:val="false"/>
          <w:i w:val="false"/>
          <w:iCs w:val="false"/>
          <w:color w:val="000000"/>
          <w:sz w:val="24"/>
          <w:szCs w:val="24"/>
        </w:rPr>
        <w:t xml:space="preserve">, бинарная сетка с «схлопыванием веток», 10 видов бонусов; СТ-баллы, от которых зависят выплаты, начисляются </w:t>
      </w:r>
      <w:r>
        <w:rPr>
          <w:rFonts w:ascii="Times New Roman" w:cs="Times New Roman" w:eastAsia="Times New Roman" w:hAnsi="Times New Roman"/>
          <w:b/>
          <w:bCs/>
          <w:i w:val="false"/>
          <w:iCs w:val="false"/>
          <w:color w:val="000000"/>
          <w:sz w:val="24"/>
          <w:szCs w:val="24"/>
        </w:rPr>
        <w:t xml:space="preserve">за оплату доступа новыми участниками</w:t>
      </w:r>
      <w:r>
        <w:rPr>
          <w:rFonts w:ascii="Times New Roman" w:cs="Times New Roman" w:eastAsia="Times New Roman" w:hAnsi="Times New Roman"/>
          <w:b w:val="false"/>
          <w:bCs w:val="false"/>
          <w:i w:val="false"/>
          <w:iCs w:val="false"/>
          <w:color w:val="000000"/>
          <w:sz w:val="24"/>
          <w:szCs w:val="24"/>
        </w:rPr>
        <w:t xml:space="preserve">.</w:t>
      </w:r>
    </w:p>
    <w:p>
      <w:pPr>
        <w:pStyle w:val="ListParagraph"/>
        <w:numPr>
          <w:ilvl w:val="0"/>
          <w:numId w:val="2"/>
        </w:numPr>
        <w:spacing w:after="40" w:line="312"/>
        <w:jc w:val="left"/>
      </w:pPr>
      <w:r>
        <w:rPr>
          <w:rFonts w:ascii="Times New Roman" w:cs="Times New Roman" w:eastAsia="Times New Roman" w:hAnsi="Times New Roman"/>
          <w:b w:val="false"/>
          <w:bCs w:val="false"/>
          <w:i w:val="false"/>
          <w:iCs w:val="false"/>
          <w:color w:val="000000"/>
          <w:sz w:val="24"/>
          <w:szCs w:val="24"/>
        </w:rPr>
        <w:t xml:space="preserve">Хронология противоречива: сайт заявляет «Project 2021», домен golddek.com создан 24.05.2021, но юрлицо-получатель платежей появилось только 28.03.2025; домен tapwork.ru создан </w:t>
      </w:r>
      <w:r>
        <w:rPr>
          <w:rFonts w:ascii="Times New Roman" w:cs="Times New Roman" w:eastAsia="Times New Roman" w:hAnsi="Times New Roman"/>
          <w:b/>
          <w:bCs/>
          <w:i w:val="false"/>
          <w:iCs w:val="false"/>
          <w:color w:val="000000"/>
          <w:sz w:val="24"/>
          <w:szCs w:val="24"/>
        </w:rPr>
        <w:t xml:space="preserve">10.08.2026</w:t>
      </w:r>
      <w:r>
        <w:rPr>
          <w:rFonts w:ascii="Times New Roman" w:cs="Times New Roman" w:eastAsia="Times New Roman" w:hAnsi="Times New Roman"/>
          <w:b w:val="false"/>
          <w:bCs w:val="false"/>
          <w:i w:val="false"/>
          <w:iCs w:val="false"/>
          <w:color w:val="000000"/>
          <w:sz w:val="24"/>
          <w:szCs w:val="24"/>
        </w:rPr>
        <w:t xml:space="preserve"> — при заявленных на нём «1000+ специалистов» сайту меньше трёх месяцев.</w:t>
      </w:r>
    </w:p>
    <w:p>
      <w:pPr>
        <w:pStyle w:val="ListParagraph"/>
        <w:numPr>
          <w:ilvl w:val="0"/>
          <w:numId w:val="2"/>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В отзывах пострадавшие прямо называют проект «финансовой пирамидой» и «сектой успешного успеха», упоминают потраченные деньги и кредит; независимой положительной репутации у бренда нет — только материалы самого проекта и его участников.</w:t>
      </w:r>
    </w:p>
    <w:p>
      <w:pPr>
        <w:pStyle w:val="Heading1"/>
        <w:spacing w:after="120" w:before="240" w:line="312"/>
      </w:pPr>
      <w:r>
        <w:rPr>
          <w:rFonts w:ascii="Arial" w:cs="Arial" w:eastAsia="Arial" w:hAnsi="Arial"/>
          <w:b/>
          <w:bCs/>
          <w:color w:val="1F3A5F"/>
          <w:sz w:val="30"/>
          <w:szCs w:val="30"/>
        </w:rPr>
        <w:t xml:space="preserve">2. Объекты проверки и связи между ними</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Все объекты связаны в одну экосистему: официальный «Маркетинг-план» GoldDek описывает три продукта — «Мерчант-портал» (golddek.com), маркетплейс услуг Тап Ворк и образовательную платформу MySchool.team, а «Общий доступ» покупается единым платежом на golddek.com. Обращает на себя внимание заимствованное имя: «Люминар Технолоджис» совпадает с названием американской публичной компании Luminar Technologies (разработчик лидаров; по данным претензионного агента Omni Agent Solutions, в отношении неё открыта процедура банкротства по главе 11). Российские ООО с ней не связаны — совпадение работает на «солидный» образ.</w:t>
      </w:r>
    </w:p>
    <w:p>
      <w:pPr>
        <w:keepNext/>
        <w:spacing w:after="70" w:before="120" w:line="312"/>
        <w:jc w:val="left"/>
      </w:pPr>
      <w:r>
        <w:rPr>
          <w:rFonts w:ascii="Arial" w:cs="Arial" w:eastAsia="Arial" w:hAnsi="Arial"/>
          <w:b/>
          <w:bCs/>
          <w:color w:val="1F3A5F"/>
          <w:sz w:val="21"/>
          <w:szCs w:val="21"/>
        </w:rPr>
        <w:t xml:space="preserve">Таблица 1. Объекты проверки</w:t>
      </w:r>
    </w:p>
    <w:tbl>
      <w:tblPr>
        <w:tblW w:type="pct" w:w="5000"/>
        <w:tblBorders>
          <w:top w:val="single" w:color="1F3A5F" w:sz="6"/>
          <w:left w:val="none"/>
          <w:bottom w:val="single" w:color="1F3A5F" w:sz="6"/>
          <w:right w:val="none"/>
          <w:insideH w:val="single" w:color="D8E0E8" w:sz="2"/>
          <w:insideV w:val="none"/>
        </w:tblBorders>
      </w:tblPr>
      <w:tblGrid>
        <w:gridCol w:w="1933"/>
        <w:gridCol w:w="3515"/>
        <w:gridCol w:w="3339"/>
      </w:tblGrid>
      <w:tr>
        <w:trPr>
          <w:cantSplit/>
          <w:tblHeader/>
        </w:trPr>
        <w:tc>
          <w:tcPr>
            <w:tcW w:type="pct" w:w="11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Объект</w:t>
            </w:r>
          </w:p>
        </w:tc>
        <w:tc>
          <w:tcPr>
            <w:tcW w:type="pct" w:w="20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Что представляет</w:t>
            </w:r>
          </w:p>
        </w:tc>
        <w:tc>
          <w:tcPr>
            <w:tcW w:type="pct" w:w="19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Ключевые данные</w:t>
            </w:r>
          </w:p>
        </w:tc>
      </w:tr>
      <w:tr>
        <w:trPr>
          <w:cantSplit/>
        </w:trPr>
        <w:tc>
          <w:tcPr>
            <w:tcW w:type="pct" w:w="11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golddek.com</w:t>
            </w:r>
          </w:p>
        </w:tc>
        <w:tc>
          <w:tcPr>
            <w:tcW w:type="pct" w:w="20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«Мерчант-портал»: точка продажи платного доступа и партнёрской программы</w:t>
            </w:r>
          </w:p>
        </w:tc>
        <w:tc>
          <w:tcPr>
            <w:tcW w:type="pct" w:w="1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Подписка 7 250 руб./мес.; бессрочный доступ 120 000 руб. (акция 108 000 руб.); реквизиты ООО «ЛЮМИНАР ТЕХНОЛОДЖИС»</w:t>
            </w:r>
          </w:p>
        </w:tc>
      </w:tr>
      <w:tr>
        <w:trPr>
          <w:cantSplit/>
        </w:trPr>
        <w:tc>
          <w:tcPr>
            <w:tcW w:type="pct" w:w="11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tapwork.ru</w:t>
            </w:r>
          </w:p>
        </w:tc>
        <w:tc>
          <w:tcPr>
            <w:tcW w:type="pct" w:w="20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«Тап Ворк» — маркетплейс цифровых услуг по образцу бирж фриланса</w:t>
            </w:r>
          </w:p>
        </w:tc>
        <w:tc>
          <w:tcPr>
            <w:tcW w:type="pct" w:w="1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Домен создан 10.08.2026; заявлено «1000+ специалистов, 10 000+ откликов»; платные пакеты откликов 500–1500 руб.</w:t>
            </w:r>
          </w:p>
        </w:tc>
      </w:tr>
      <w:tr>
        <w:trPr>
          <w:cantSplit/>
        </w:trPr>
        <w:tc>
          <w:tcPr>
            <w:tcW w:type="pct" w:w="11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myschool.team</w:t>
            </w:r>
          </w:p>
        </w:tc>
        <w:tc>
          <w:tcPr>
            <w:tcW w:type="pct" w:w="20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Образовательная платформа (MySchool.Team)</w:t>
            </w:r>
          </w:p>
        </w:tc>
        <w:tc>
          <w:tcPr>
            <w:tcW w:type="pct" w:w="1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Учебный центр ООО «ДЕК ГОЛДДЕК ГРУПП»; на сайте указана лицензия № ЛО35-01212-59/01471790; «выгоднее покупать доступ на Golddek.com»</w:t>
            </w:r>
          </w:p>
        </w:tc>
      </w:tr>
      <w:tr>
        <w:trPr>
          <w:cantSplit/>
        </w:trPr>
        <w:tc>
          <w:tcPr>
            <w:tcW w:type="pct" w:w="11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@kris_bfl (Telegram, VK)</w:t>
            </w:r>
          </w:p>
        </w:tc>
        <w:tc>
          <w:tcPr>
            <w:tcW w:type="pct" w:w="20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Рекрутёр, пригласивший заказчика на созвон</w:t>
            </w:r>
          </w:p>
        </w:tc>
        <w:tc>
          <w:tcPr>
            <w:tcW w:type="pct" w:w="1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Профиль Telegram: Khristina Burenina; контент приватный, VK скрыт за проверкой</w:t>
            </w:r>
          </w:p>
        </w:tc>
      </w:tr>
    </w:tbl>
    <w:p>
      <w:pPr>
        <w:pStyle w:val="Heading1"/>
        <w:spacing w:after="120" w:before="240" w:line="312"/>
      </w:pPr>
      <w:r>
        <w:rPr>
          <w:rFonts w:ascii="Arial" w:cs="Arial" w:eastAsia="Arial" w:hAnsi="Arial"/>
          <w:b/>
          <w:bCs/>
          <w:color w:val="1F3A5F"/>
          <w:sz w:val="30"/>
          <w:szCs w:val="30"/>
        </w:rPr>
        <w:t xml:space="preserve">3. Домены, хостинг и хронология проекта</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Техническая проверка показывает характерную картину: старый «витринный» домен, свежий продукт и отсутствие публичной истории — в веб-архиве (Wayback Machine) не найдено ни одного снимка обоих сайтов, поэтому проследить прежние обещания проекта невозможно. Показательна и небрежность документов: в «Маркетинг-плане» маркетплейс указан как TapWork.com — домен, зарегистрированный ещё в 2011 году и принадлежащий постороннему владельцу; реальный сайт проекта — tapwork.ru.</w:t>
      </w:r>
    </w:p>
    <w:p>
      <w:pPr>
        <w:keepNext/>
        <w:spacing w:after="70" w:before="120" w:line="312"/>
        <w:jc w:val="left"/>
      </w:pPr>
      <w:r>
        <w:rPr>
          <w:rFonts w:ascii="Arial" w:cs="Arial" w:eastAsia="Arial" w:hAnsi="Arial"/>
          <w:b/>
          <w:bCs/>
          <w:color w:val="1F3A5F"/>
          <w:sz w:val="21"/>
          <w:szCs w:val="21"/>
        </w:rPr>
        <w:t xml:space="preserve">Таблица 2. Домены и юридические лица</w:t>
      </w:r>
    </w:p>
    <w:tbl>
      <w:tblPr>
        <w:tblW w:type="pct" w:w="5000"/>
        <w:tblBorders>
          <w:top w:val="single" w:color="1F3A5F" w:sz="6"/>
          <w:left w:val="none"/>
          <w:bottom w:val="single" w:color="1F3A5F" w:sz="6"/>
          <w:right w:val="none"/>
          <w:insideH w:val="single" w:color="D8E0E8" w:sz="2"/>
          <w:insideV w:val="none"/>
        </w:tblBorders>
      </w:tblPr>
      <w:tblGrid>
        <w:gridCol w:w="2021"/>
        <w:gridCol w:w="1494"/>
        <w:gridCol w:w="2724"/>
        <w:gridCol w:w="2549"/>
      </w:tblGrid>
      <w:tr>
        <w:trPr>
          <w:cantSplit/>
          <w:tblHeader/>
        </w:trPr>
        <w:tc>
          <w:tcPr>
            <w:tcW w:type="pct" w:w="11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Объект</w:t>
            </w:r>
          </w:p>
        </w:tc>
        <w:tc>
          <w:tcPr>
            <w:tcW w:type="pct" w:w="8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Создан</w:t>
            </w:r>
          </w:p>
        </w:tc>
        <w:tc>
          <w:tcPr>
            <w:tcW w:type="pct" w:w="15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Регистрационные данные</w:t>
            </w:r>
          </w:p>
        </w:tc>
        <w:tc>
          <w:tcPr>
            <w:tcW w:type="pct" w:w="14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Комментарий</w:t>
            </w:r>
          </w:p>
        </w:tc>
      </w:tr>
      <w:tr>
        <w:trPr>
          <w:cantSplit/>
        </w:trPr>
        <w:tc>
          <w:tcPr>
            <w:tcW w:type="pct" w:w="11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Домен golddek.com</w:t>
            </w:r>
          </w:p>
        </w:tc>
        <w:tc>
          <w:tcPr>
            <w:tcW w:type="pct" w:w="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24.05.2021</w:t>
            </w:r>
          </w:p>
        </w:tc>
        <w:tc>
          <w:tcPr>
            <w:tcW w:type="pct" w:w="15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Регистратор REG.RU; оплачен до 24.05.2027; хостинг Beget (Санкт-Петербург)</w:t>
            </w:r>
          </w:p>
        </w:tc>
        <w:tc>
          <w:tcPr>
            <w:tcW w:type="pct" w:w="14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Обновлён 08.04.2026; снимков в веб-архиве нет</w:t>
            </w:r>
          </w:p>
        </w:tc>
      </w:tr>
      <w:tr>
        <w:trPr>
          <w:cantSplit/>
        </w:trPr>
        <w:tc>
          <w:tcPr>
            <w:tcW w:type="pct" w:w="11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Домен tapwork.ru</w:t>
            </w:r>
          </w:p>
        </w:tc>
        <w:tc>
          <w:tcPr>
            <w:tcW w:type="pct" w:w="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10.08.2026</w:t>
            </w:r>
          </w:p>
        </w:tc>
        <w:tc>
          <w:tcPr>
            <w:tcW w:type="pct" w:w="15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REG.RU, владелец скрыт («Private Person»); серверы VK Cloud (Москва)</w:t>
            </w:r>
          </w:p>
        </w:tc>
        <w:tc>
          <w:tcPr>
            <w:tcW w:type="pct" w:w="14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Возраст на дату проверки — около 2,5 месяцев</w:t>
            </w:r>
          </w:p>
        </w:tc>
      </w:tr>
      <w:tr>
        <w:trPr>
          <w:cantSplit/>
        </w:trPr>
        <w:tc>
          <w:tcPr>
            <w:tcW w:type="pct" w:w="11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ООО «ЛЮМИНАР ТЕХНОЛОДЖИС»</w:t>
            </w:r>
          </w:p>
        </w:tc>
        <w:tc>
          <w:tcPr>
            <w:tcW w:type="pct" w:w="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28.03.2025</w:t>
            </w:r>
          </w:p>
        </w:tc>
        <w:tc>
          <w:tcPr>
            <w:tcW w:type="pct" w:w="15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ОГРН 1255900005569; Березники, ул. Свердлова, 57, кв. 54</w:t>
            </w:r>
          </w:p>
        </w:tc>
        <w:tc>
          <w:tcPr>
            <w:tcW w:type="pct" w:w="14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Появилось на 4 года позже заявленного «Project 2021»</w:t>
            </w:r>
          </w:p>
        </w:tc>
      </w:tr>
      <w:tr>
        <w:trPr>
          <w:cantSplit/>
        </w:trPr>
        <w:tc>
          <w:tcPr>
            <w:tcW w:type="pct" w:w="11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ООО «ДЕК ГОЛДДЕК ГРУПП»</w:t>
            </w:r>
          </w:p>
        </w:tc>
        <w:tc>
          <w:tcPr>
            <w:tcW w:type="pct" w:w="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30.11.2021</w:t>
            </w:r>
          </w:p>
        </w:tc>
        <w:tc>
          <w:tcPr>
            <w:tcW w:type="pct" w:w="15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ОГРН 1215900022623; Березники; гендиректор Захаров Е. В.</w:t>
            </w:r>
          </w:p>
        </w:tc>
        <w:tc>
          <w:tcPr>
            <w:tcW w:type="pct" w:w="14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Учебный центр проекта; выручка по открытым базам — ок. 9,2 млн руб. в год</w:t>
            </w:r>
          </w:p>
        </w:tc>
      </w:tr>
    </w:tbl>
    <w:p>
      <w:pPr>
        <w:pStyle w:val="Heading1"/>
        <w:spacing w:after="120" w:before="240" w:line="312"/>
      </w:pPr>
      <w:r>
        <w:rPr>
          <w:rFonts w:ascii="Arial" w:cs="Arial" w:eastAsia="Arial" w:hAnsi="Arial"/>
          <w:b/>
          <w:bCs/>
          <w:color w:val="1F3A5F"/>
          <w:sz w:val="30"/>
          <w:szCs w:val="30"/>
        </w:rPr>
        <w:t xml:space="preserve">4. Финансовая схема по официальному «Маркетинг-плану»</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Чтобы стать «Пользователем», нужно оплатить доступ: подписку 7 250 руб. в месяц или «бессрочный доступ» за 120 000 руб. (акция — 108 000 руб.); регистрация возможна только по персональной реферальной ссылке пригласившего, изменить его нельзя. Вознаграждения привязаны к оплатам в структуре. Линейная часть: бонусы «Старт» и «Старт Плюс» распределяются «вверх по структуре» при каждой оплате доступа и каждом ежемесячном платеже — на </w:t>
      </w:r>
      <w:r>
        <w:rPr>
          <w:rFonts w:ascii="Times New Roman" w:cs="Times New Roman" w:eastAsia="Times New Roman" w:hAnsi="Times New Roman"/>
          <w:b/>
          <w:bCs/>
          <w:i w:val="false"/>
          <w:iCs w:val="false"/>
          <w:color w:val="000000"/>
          <w:sz w:val="24"/>
          <w:szCs w:val="24"/>
        </w:rPr>
        <w:t xml:space="preserve">до 20 уровней вглубь</w:t>
      </w:r>
      <w:r>
        <w:rPr>
          <w:rFonts w:ascii="Times New Roman" w:cs="Times New Roman" w:eastAsia="Times New Roman" w:hAnsi="Times New Roman"/>
          <w:b w:val="false"/>
          <w:bCs w:val="false"/>
          <w:i w:val="false"/>
          <w:iCs w:val="false"/>
          <w:color w:val="000000"/>
          <w:sz w:val="24"/>
          <w:szCs w:val="24"/>
        </w:rPr>
        <w:t xml:space="preserve">. Бинарная часть: СТ-баллы начисляются за действия, «связанные с оплатой доступа», и при накоплении по 120 СТ в каждой из двух веток происходит «схлопывание» с выплатой «Пассивного бонуса» 3 500–6 000 руб. плюс баллы ЛП. Квалификации: «Серебро» (120 СТ) → «Золото» (900) → «Платина 1–3» (3 000 / 15 000 / 30 000) → «Бриллиант» (60 000); с «Золотом» участник попадает в программу ФАБ, где система «закрепляет» за ним новых пользователей Тап Ворк с отчислением 1% со сделок. Всего — 10 видов бонусов, включая проценты с «безопасных сделок» (10/3/2% с комиссии платформы) и платных откликов (17,5/5,3/3,5% со стоимости отклика 15 руб.). Условие любых выплат — «положительная Активность» самого участника.</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Ключевой вывод: ни один механизм не создаёт дохода от продажи услуг внешним клиентам — все выплаты оплачиваются взносами участников. Оферта при этом снимает риски с продавца: заказчик не вправе ссылаться на отсутствие сведений о составе услуги для возврата; когда «фактически оказанные» услуги достигают стоимости «Общего доступа», деньги возврату не подлежат; при нарушении правил аккаунт блокируется </w:t>
      </w:r>
      <w:r>
        <w:rPr>
          <w:rFonts w:ascii="Times New Roman" w:cs="Times New Roman" w:eastAsia="Times New Roman" w:hAnsi="Times New Roman"/>
          <w:b/>
          <w:bCs/>
          <w:i w:val="false"/>
          <w:iCs w:val="false"/>
          <w:color w:val="000000"/>
          <w:sz w:val="24"/>
          <w:szCs w:val="24"/>
        </w:rPr>
        <w:t xml:space="preserve">без возврата средств</w:t>
      </w:r>
      <w:r>
        <w:rPr>
          <w:rFonts w:ascii="Times New Roman" w:cs="Times New Roman" w:eastAsia="Times New Roman" w:hAnsi="Times New Roman"/>
          <w:b w:val="false"/>
          <w:bCs w:val="false"/>
          <w:i w:val="false"/>
          <w:iCs w:val="false"/>
          <w:color w:val="000000"/>
          <w:sz w:val="24"/>
          <w:szCs w:val="24"/>
        </w:rPr>
        <w:t xml:space="preserve">. Оферта также допускает оплату в кредит через стороннюю организацию — обязательства перед банком остаются на покупателе, что совпадает с рассказами пострадавших о «деньгах и кредите».</w:t>
      </w:r>
    </w:p>
    <w:p>
      <w:pPr>
        <w:pStyle w:val="Heading1"/>
        <w:spacing w:after="120" w:before="240" w:line="312"/>
      </w:pPr>
      <w:r>
        <w:rPr>
          <w:rFonts w:ascii="Arial" w:cs="Arial" w:eastAsia="Arial" w:hAnsi="Arial"/>
          <w:b/>
          <w:bCs/>
          <w:color w:val="1F3A5F"/>
          <w:sz w:val="30"/>
          <w:szCs w:val="30"/>
        </w:rPr>
        <w:t xml:space="preserve">5. Юридические лица по данным реестров</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По открытым данным ЕГРЮЛ обе компании — типичные «витринные» юрлица сетевых проектов: минимальный уставный капитал, регистрация в жилом помещении, нулевой штат; налоговой задолженности и судебных дел в открытых источниках не выявлено. Финансовая ёмкость мала: годовая выручка учебного центра (ок. 9,2 млн руб.) меньше, чем 80 «бессрочных доступов» по 120 000 руб.</w:t>
      </w:r>
    </w:p>
    <w:p>
      <w:pPr>
        <w:keepNext/>
        <w:spacing w:after="70" w:before="120" w:line="312"/>
        <w:jc w:val="left"/>
      </w:pPr>
      <w:r>
        <w:rPr>
          <w:rFonts w:ascii="Arial" w:cs="Arial" w:eastAsia="Arial" w:hAnsi="Arial"/>
          <w:b/>
          <w:bCs/>
          <w:color w:val="1F3A5F"/>
          <w:sz w:val="21"/>
          <w:szCs w:val="21"/>
        </w:rPr>
        <w:t xml:space="preserve">Таблица 3. Сравнение юридических лиц (открытые реестры, 31.10.2026)</w:t>
      </w:r>
    </w:p>
    <w:tbl>
      <w:tblPr>
        <w:tblW w:type="pct" w:w="5000"/>
        <w:tblBorders>
          <w:top w:val="single" w:color="1F3A5F" w:sz="6"/>
          <w:left w:val="none"/>
          <w:bottom w:val="single" w:color="1F3A5F" w:sz="6"/>
          <w:right w:val="none"/>
          <w:insideH w:val="single" w:color="D8E0E8" w:sz="2"/>
          <w:insideV w:val="none"/>
        </w:tblBorders>
      </w:tblPr>
      <w:tblGrid>
        <w:gridCol w:w="2285"/>
        <w:gridCol w:w="3252"/>
        <w:gridCol w:w="3252"/>
      </w:tblGrid>
      <w:tr>
        <w:trPr>
          <w:cantSplit/>
          <w:tblHeader/>
        </w:trPr>
        <w:tc>
          <w:tcPr>
            <w:tcW w:type="pct" w:w="13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Параметр</w:t>
            </w:r>
          </w:p>
        </w:tc>
        <w:tc>
          <w:tcPr>
            <w:tcW w:type="pct" w:w="18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ООО «ЛЮМИНАР ТЕХНОЛОДЖИС»</w:t>
            </w:r>
          </w:p>
        </w:tc>
        <w:tc>
          <w:tcPr>
            <w:tcW w:type="pct" w:w="185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ООО «ДЕК ГОЛДДЕК ГРУПП»</w:t>
            </w:r>
          </w:p>
        </w:tc>
      </w:tr>
      <w:tr>
        <w:trPr>
          <w:cantSplit/>
        </w:trPr>
        <w:tc>
          <w:tcPr>
            <w:tcW w:type="pct" w:w="13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ИНН / ОГРН</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5919035168 / 1255900005569</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5911083064 / 1215900022623</w:t>
            </w:r>
          </w:p>
        </w:tc>
      </w:tr>
      <w:tr>
        <w:trPr>
          <w:cantSplit/>
        </w:trPr>
        <w:tc>
          <w:tcPr>
            <w:tcW w:type="pct" w:w="13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Дата регистрации</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28.03.2025</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30.11.2021</w:t>
            </w:r>
          </w:p>
        </w:tc>
      </w:tr>
      <w:tr>
        <w:trPr>
          <w:cantSplit/>
        </w:trPr>
        <w:tc>
          <w:tcPr>
            <w:tcW w:type="pct" w:w="13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Адрес</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Березники, ул. Свердлова, 57, кв. 54 (жилое помещение)</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Березники (Пермский край)</w:t>
            </w:r>
          </w:p>
        </w:tc>
      </w:tr>
      <w:tr>
        <w:trPr>
          <w:cantSplit/>
        </w:trPr>
        <w:tc>
          <w:tcPr>
            <w:tcW w:type="pct" w:w="13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Руководитель и владелец</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Глушков Д. К. — единственный учредитель и гендиректор</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Захаров Е. В. — гендиректор</w:t>
            </w:r>
          </w:p>
        </w:tc>
      </w:tr>
      <w:tr>
        <w:trPr>
          <w:cantSplit/>
        </w:trPr>
        <w:tc>
          <w:tcPr>
            <w:tcW w:type="pct" w:w="13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Уставный капитал</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10 000 руб.</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15 000 руб.</w:t>
            </w:r>
          </w:p>
        </w:tc>
      </w:tr>
      <w:tr>
        <w:trPr>
          <w:cantSplit/>
        </w:trPr>
        <w:tc>
          <w:tcPr>
            <w:tcW w:type="pct" w:w="13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Численность работников</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0 чел. (ФНС, 2025)</w:t>
            </w:r>
          </w:p>
        </w:tc>
        <w:tc>
          <w:tcPr>
            <w:tcW w:type="pct" w:w="185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в открытых базах не раскрыта</w:t>
            </w:r>
          </w:p>
        </w:tc>
      </w:tr>
      <w:tr>
        <w:trPr>
          <w:cantSplit/>
        </w:trPr>
        <w:tc>
          <w:tcPr>
            <w:tcW w:type="pct" w:w="13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Роль в проекте</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Получатель платежей за доступ (golddek.com, tapwork.ru)</w:t>
            </w:r>
          </w:p>
        </w:tc>
        <w:tc>
          <w:tcPr>
            <w:tcW w:type="pct" w:w="185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«Разработчик бренда», учебный центр MySchool.Team</w:t>
            </w:r>
          </w:p>
        </w:tc>
      </w:tr>
    </w:tbl>
    <w:p>
      <w:pPr>
        <w:pStyle w:val="Heading1"/>
        <w:spacing w:after="120" w:before="240" w:line="312"/>
      </w:pPr>
      <w:r>
        <w:rPr>
          <w:rFonts w:ascii="Arial" w:cs="Arial" w:eastAsia="Arial" w:hAnsi="Arial"/>
          <w:b/>
          <w:bCs/>
          <w:color w:val="1F3A5F"/>
          <w:sz w:val="30"/>
          <w:szCs w:val="30"/>
        </w:rPr>
        <w:t xml:space="preserve">6. Репутация в интернете и отзывы</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Независимой информации о проекте практически нет — для брендов такого возраста это само по себе показатель. На Otzovik 15 отзывов, средняя оценка 4,1 из 5, 80% «рекомендуют» — типичная для MLM картина лояльного комьюнити; негативные отзывы при этом предельно конкретны: «Фин. пирамида, не ведитесь… потрачено время, деньги, кредит. Фальшивое комьюнити» (январь 2025); «Секта „успешного успеха“ и финансовая пирамида, два в одном… контора по отъему денег» (июль 2025); «обрабатывают молодёжь вложить деньги „в то, не знаю что“» (ноябрь 2024). В июле 2025 от лица ООО «ДЕК ГОЛДДЕК ГРУПП» публиковался официальный ответ. Форум loxotrona.net называет проект «скамом» и «пирамидой»; на Т-Банке обращений нет, в СМИ упоминаний нет. В публичном поиске списка компаний с признаками нелегальной деятельности Банка России (cbr.ru/inside/warning-list) названия «Люминар» и «Голддек» на 31.10.2026 не обнаружены — однако список не исчерпывающий, и отсутствие в нём не означает безопасности.</w:t>
      </w:r>
    </w:p>
    <w:p>
      <w:pPr>
        <w:pStyle w:val="Heading1"/>
        <w:spacing w:after="120" w:before="240" w:line="312"/>
      </w:pPr>
      <w:r>
        <w:rPr>
          <w:rFonts w:ascii="Arial" w:cs="Arial" w:eastAsia="Arial" w:hAnsi="Arial"/>
          <w:b/>
          <w:bCs/>
          <w:color w:val="1F3A5F"/>
          <w:sz w:val="30"/>
          <w:szCs w:val="30"/>
        </w:rPr>
        <w:t xml:space="preserve">7. Сопоставление с признаками финансовой пирамиды</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Сопоставление установленных фактов с типовыми признаками пирамид по разъяснениям Банка России (основа состава преступления по ст. 172.2 УК РФ):</w:t>
      </w:r>
    </w:p>
    <w:p>
      <w:pPr>
        <w:keepNext/>
        <w:spacing w:after="70" w:before="120" w:line="312"/>
        <w:jc w:val="left"/>
      </w:pPr>
      <w:r>
        <w:rPr>
          <w:rFonts w:ascii="Arial" w:cs="Arial" w:eastAsia="Arial" w:hAnsi="Arial"/>
          <w:b/>
          <w:bCs/>
          <w:color w:val="1F3A5F"/>
          <w:sz w:val="21"/>
          <w:szCs w:val="21"/>
        </w:rPr>
        <w:t xml:space="preserve">Таблица 4. Чек-лист признаков пирамиды</w:t>
      </w:r>
    </w:p>
    <w:tbl>
      <w:tblPr>
        <w:tblW w:type="pct" w:w="5000"/>
        <w:tblBorders>
          <w:top w:val="single" w:color="1F3A5F" w:sz="6"/>
          <w:left w:val="none"/>
          <w:bottom w:val="single" w:color="1F3A5F" w:sz="6"/>
          <w:right w:val="none"/>
          <w:insideH w:val="single" w:color="D8E0E8" w:sz="2"/>
          <w:insideV w:val="none"/>
        </w:tblBorders>
      </w:tblPr>
      <w:tblGrid>
        <w:gridCol w:w="2636"/>
        <w:gridCol w:w="5097"/>
        <w:gridCol w:w="1055"/>
      </w:tblGrid>
      <w:tr>
        <w:trPr>
          <w:cantSplit/>
          <w:tblHeader/>
        </w:trPr>
        <w:tc>
          <w:tcPr>
            <w:tcW w:type="pct" w:w="15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Признак (Банк России)</w:t>
            </w:r>
          </w:p>
        </w:tc>
        <w:tc>
          <w:tcPr>
            <w:tcW w:type="pct" w:w="29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Что установлено в ходе проверки</w:t>
            </w:r>
          </w:p>
        </w:tc>
        <w:tc>
          <w:tcPr>
            <w:tcW w:type="pct" w:w="600"/>
            <w:shd w:fill="1F3A5F" w:val="clear"/>
            <w:tcMar>
              <w:top w:type="dxa" w:w="55"/>
              <w:left w:type="dxa" w:w="110"/>
              <w:bottom w:type="dxa" w:w="55"/>
              <w:right w:type="dxa" w:w="110"/>
            </w:tcMar>
          </w:tcPr>
          <w:p>
            <w:pPr>
              <w:spacing w:line="312"/>
              <w:jc w:val="left"/>
            </w:pPr>
            <w:r>
              <w:rPr>
                <w:rFonts w:ascii="Arial" w:cs="Arial" w:eastAsia="Arial" w:hAnsi="Arial"/>
                <w:b/>
                <w:bCs/>
                <w:color w:val="FFFFFF"/>
                <w:sz w:val="20"/>
                <w:szCs w:val="20"/>
              </w:rPr>
              <w:t xml:space="preserve">Совпадение</w:t>
            </w:r>
          </w:p>
        </w:tc>
      </w:tr>
      <w:tr>
        <w:trPr>
          <w:cantSplit/>
        </w:trPr>
        <w:tc>
          <w:tcPr>
            <w:tcW w:type="pct" w:w="15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Платный «вход» в систему</w:t>
            </w:r>
          </w:p>
        </w:tc>
        <w:tc>
          <w:tcPr>
            <w:tcW w:type="pct" w:w="2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Доступ продаётся за 7 250 руб./мес. или 108 000–120 000 руб.; регистрация только по реферальной ссылке</w:t>
            </w:r>
          </w:p>
        </w:tc>
        <w:tc>
          <w:tcPr>
            <w:tcW w:type="pct" w:w="6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Доход в основном от привлечения новых участников</w:t>
            </w:r>
          </w:p>
        </w:tc>
        <w:tc>
          <w:tcPr>
            <w:tcW w:type="pct" w:w="2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СТ-баллы и бонусы до 20 уровней начисляются за оплаты доступа участниками структуры</w:t>
            </w:r>
          </w:p>
        </w:tc>
        <w:tc>
          <w:tcPr>
            <w:tcW w:type="pct" w:w="6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Обещания «пассивного дохода»</w:t>
            </w:r>
          </w:p>
        </w:tc>
        <w:tc>
          <w:tcPr>
            <w:tcW w:type="pct" w:w="2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«Пассивный бонус» 3 500–6 000 руб., ФАБ, «переход к модели, где результат формируется за счёт структуры»</w:t>
            </w:r>
          </w:p>
        </w:tc>
        <w:tc>
          <w:tcPr>
            <w:tcW w:type="pct" w:w="6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Продвижение через знакомых и соцсети</w:t>
            </w:r>
          </w:p>
        </w:tc>
        <w:tc>
          <w:tcPr>
            <w:tcW w:type="pct" w:w="2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Заказчика лично пригласили знакомые на «созвон»; рекрутёр в Telegram/VK; реферальные ссылки</w:t>
            </w:r>
          </w:p>
        </w:tc>
        <w:tc>
          <w:tcPr>
            <w:tcW w:type="pct" w:w="6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Отсутствие лицензий и надзора</w:t>
            </w:r>
          </w:p>
        </w:tc>
        <w:tc>
          <w:tcPr>
            <w:tcW w:type="pct" w:w="2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Лицензируемой финансовой деятельности нет; приём денег оформлен как «доступ к порталу» — вне поля ЦБ</w:t>
            </w:r>
          </w:p>
        </w:tc>
        <w:tc>
          <w:tcPr>
            <w:tcW w:type="pct" w:w="6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Созвучное имя известной компании</w:t>
            </w:r>
          </w:p>
        </w:tc>
        <w:tc>
          <w:tcPr>
            <w:tcW w:type="pct" w:w="2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«Люминар Технолоджис» копирует имя американской Luminar Technologies; связи нет</w:t>
            </w:r>
          </w:p>
        </w:tc>
        <w:tc>
          <w:tcPr>
            <w:tcW w:type="pct" w:w="6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Молодые ресурсы при заявленном стаже</w:t>
            </w:r>
          </w:p>
        </w:tc>
        <w:tc>
          <w:tcPr>
            <w:tcW w:type="pct" w:w="29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«Project 2021» против юрлица 28.03.2025; tapwork.ru — 10.08.2026 при «1000+ специалистов»</w:t>
            </w:r>
          </w:p>
        </w:tc>
        <w:tc>
          <w:tcPr>
            <w:tcW w:type="pct" w:w="600"/>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r>
        <w:trPr>
          <w:cantSplit/>
        </w:trPr>
        <w:tc>
          <w:tcPr>
            <w:tcW w:type="pct" w:w="15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Нет независимой репутации</w:t>
            </w:r>
          </w:p>
        </w:tc>
        <w:tc>
          <w:tcPr>
            <w:tcW w:type="pct" w:w="29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Только собственные материалы и отзывы участников; негативные отзывы называют проект пирамидой</w:t>
            </w:r>
          </w:p>
        </w:tc>
        <w:tc>
          <w:tcPr>
            <w:tcW w:type="pct" w:w="600"/>
            <w:shd w:fill="F2F5F8" w:val="clear"/>
            <w:tcMar>
              <w:top w:type="dxa" w:w="55"/>
              <w:left w:type="dxa" w:w="110"/>
              <w:bottom w:type="dxa" w:w="55"/>
              <w:right w:type="dxa" w:w="110"/>
            </w:tcMar>
          </w:tcPr>
          <w:p>
            <w:pPr>
              <w:spacing w:line="312"/>
              <w:jc w:val="left"/>
            </w:pPr>
            <w:r>
              <w:rPr>
                <w:rFonts w:ascii="Arial" w:cs="Arial" w:eastAsia="Arial" w:hAnsi="Arial"/>
                <w:b w:val="false"/>
                <w:bCs w:val="false"/>
                <w:i w:val="false"/>
                <w:iCs w:val="false"/>
                <w:color w:val="000000"/>
                <w:sz w:val="20"/>
                <w:szCs w:val="20"/>
              </w:rPr>
              <w:t xml:space="preserve">Да</w:t>
            </w:r>
          </w:p>
        </w:tc>
      </w:tr>
    </w:tbl>
    <w:p>
      <w:pPr>
        <w:spacing w:after="100" w:line="312"/>
        <w:ind w:firstLine="709"/>
        <w:jc w:val="both"/>
      </w:pPr>
      <w:r>
        <w:rPr>
          <w:rFonts w:ascii="Times New Roman" w:cs="Times New Roman" w:eastAsia="Times New Roman" w:hAnsi="Times New Roman"/>
          <w:b w:val="false"/>
          <w:bCs w:val="false"/>
          <w:i w:val="false"/>
          <w:iCs w:val="false"/>
          <w:color w:val="000000"/>
          <w:sz w:val="24"/>
          <w:szCs w:val="24"/>
        </w:rPr>
        <w:t xml:space="preserve">Итог — </w:t>
      </w:r>
      <w:r>
        <w:rPr>
          <w:rFonts w:ascii="Times New Roman" w:cs="Times New Roman" w:eastAsia="Times New Roman" w:hAnsi="Times New Roman"/>
          <w:b/>
          <w:bCs/>
          <w:i w:val="false"/>
          <w:iCs w:val="false"/>
          <w:color w:val="000000"/>
          <w:sz w:val="24"/>
          <w:szCs w:val="24"/>
        </w:rPr>
        <w:t xml:space="preserve">8 из 8 признаков</w:t>
      </w:r>
      <w:r>
        <w:rPr>
          <w:rFonts w:ascii="Times New Roman" w:cs="Times New Roman" w:eastAsia="Times New Roman" w:hAnsi="Times New Roman"/>
          <w:b w:val="false"/>
          <w:bCs w:val="false"/>
          <w:i w:val="false"/>
          <w:iCs w:val="false"/>
          <w:color w:val="000000"/>
          <w:sz w:val="24"/>
          <w:szCs w:val="24"/>
        </w:rPr>
        <w:t xml:space="preserve">. Формально продаётся «доступ и обучение», но продукт за 108 000 руб. несопоставим с рыночными аналогами (подписки на биржи фриланса и онлайн-курсы — 0–3 тыс. руб. в месяц), а все выплаты оплачиваются взносами участников. Это «MLM с признаками финансовой пирамиды»: до коллапса или возбуждения дела выплаты идут из денег новых участников, которые в итоге теряют всё.</w:t>
      </w:r>
    </w:p>
    <w:p>
      <w:pPr>
        <w:pStyle w:val="Heading1"/>
        <w:spacing w:after="120" w:before="240" w:line="312"/>
      </w:pPr>
      <w:r>
        <w:rPr>
          <w:rFonts w:ascii="Arial" w:cs="Arial" w:eastAsia="Arial" w:hAnsi="Arial"/>
          <w:b/>
          <w:bCs/>
          <w:color w:val="1F3A5F"/>
          <w:sz w:val="30"/>
          <w:szCs w:val="30"/>
        </w:rPr>
        <w:t xml:space="preserve">8. Рекомендации</w:t>
      </w:r>
    </w:p>
    <w:p>
      <w:pPr>
        <w:spacing w:after="80" w:line="312"/>
        <w:ind w:firstLine="709"/>
        <w:jc w:val="both"/>
      </w:pPr>
      <w:r>
        <w:rPr>
          <w:rFonts w:ascii="Times New Roman" w:cs="Times New Roman" w:eastAsia="Times New Roman" w:hAnsi="Times New Roman"/>
          <w:b w:val="false"/>
          <w:bCs w:val="false"/>
          <w:i w:val="false"/>
          <w:iCs w:val="false"/>
          <w:color w:val="000000"/>
          <w:sz w:val="24"/>
          <w:szCs w:val="24"/>
        </w:rPr>
        <w:t xml:space="preserve"/>
      </w:r>
      <w:r>
        <w:rPr>
          <w:rFonts w:ascii="Times New Roman" w:cs="Times New Roman" w:eastAsia="Times New Roman" w:hAnsi="Times New Roman"/>
          <w:b/>
          <w:bCs/>
          <w:i w:val="false"/>
          <w:iCs w:val="false"/>
          <w:color w:val="000000"/>
          <w:sz w:val="24"/>
          <w:szCs w:val="24"/>
        </w:rPr>
        <w:t xml:space="preserve">Пока платёж не сделан.</w:t>
      </w:r>
      <w:r>
        <w:rPr>
          <w:rFonts w:ascii="Times New Roman" w:cs="Times New Roman" w:eastAsia="Times New Roman" w:hAnsi="Times New Roman"/>
          <w:b w:val="false"/>
          <w:bCs w:val="false"/>
          <w:i w:val="false"/>
          <w:iCs w:val="false"/>
          <w:color w:val="000000"/>
          <w:sz w:val="24"/>
          <w:szCs w:val="24"/>
        </w:rPr>
        <w:t xml:space="preserve"> Не оплачивайте подписку и «бессрочный доступ», не подписывайте кредитные документы, не регистрируйтесь «по ссылке» — аккаунт будет навсегда привязан к пригласившему. Сохраните переписку и запись созвона. Тест для зазывающих: попросите письменно подтвердить гарантированный доход и юрлицо-получателя платежа — это тоже ответ.</w:t>
      </w:r>
    </w:p>
    <w:p>
      <w:pPr>
        <w:spacing w:after="60" w:line="312"/>
        <w:ind w:firstLine="709"/>
        <w:jc w:val="both"/>
      </w:pPr>
      <w:r>
        <w:rPr>
          <w:rFonts w:ascii="Times New Roman" w:cs="Times New Roman" w:eastAsia="Times New Roman" w:hAnsi="Times New Roman"/>
          <w:b w:val="false"/>
          <w:bCs w:val="false"/>
          <w:i w:val="false"/>
          <w:iCs w:val="false"/>
          <w:color w:val="000000"/>
          <w:sz w:val="24"/>
          <w:szCs w:val="24"/>
        </w:rPr>
        <w:t xml:space="preserve"/>
      </w:r>
      <w:r>
        <w:rPr>
          <w:rFonts w:ascii="Times New Roman" w:cs="Times New Roman" w:eastAsia="Times New Roman" w:hAnsi="Times New Roman"/>
          <w:b/>
          <w:bCs/>
          <w:i w:val="false"/>
          <w:iCs w:val="false"/>
          <w:color w:val="000000"/>
          <w:sz w:val="24"/>
          <w:szCs w:val="24"/>
        </w:rPr>
        <w:t xml:space="preserve">Если платёж уже сделан.</w:t>
      </w:r>
      <w:r>
        <w:rPr>
          <w:rFonts w:ascii="Times New Roman" w:cs="Times New Roman" w:eastAsia="Times New Roman" w:hAnsi="Times New Roman"/>
          <w:b w:val="false"/>
          <w:bCs w:val="false"/>
          <w:i w:val="false"/>
          <w:iCs w:val="false"/>
          <w:color w:val="000000"/>
          <w:sz w:val="24"/>
          <w:szCs w:val="24"/>
        </w:rPr>
        <w:t xml:space="preserve"> Действуйте быстро, сроки оспаривания ограничены:</w:t>
      </w:r>
    </w:p>
    <w:p>
      <w:pPr>
        <w:pStyle w:val="ListParagraph"/>
        <w:numPr>
          <w:ilvl w:val="0"/>
          <w:numId w:val="3"/>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Подайте письменную претензию на info@golddek.com и заказным письмом по адресу ООО «ЛЮМИНАР ТЕХНОЛОДЖИС» (618416, г. Березники, ул. Свердлова, 57, кв. 54) — порядок прописан в оферте; сохраните подтверждения отправки.</w:t>
      </w:r>
    </w:p>
    <w:p>
      <w:pPr>
        <w:pStyle w:val="ListParagraph"/>
        <w:numPr>
          <w:ilvl w:val="0"/>
          <w:numId w:val="3"/>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Обратитесь в свой банк: заявление о несогласии с операцией (chargeback) и о подозрении на мошенничество; платежи через СБП также оспариваются через банк.</w:t>
      </w:r>
    </w:p>
    <w:p>
      <w:pPr>
        <w:pStyle w:val="ListParagraph"/>
        <w:numPr>
          <w:ilvl w:val="0"/>
          <w:numId w:val="3"/>
        </w:numPr>
        <w:spacing w:after="40" w:line="312"/>
        <w:jc w:val="left"/>
      </w:pPr>
      <w:r>
        <w:rPr>
          <w:rFonts w:ascii="Times New Roman" w:cs="Times New Roman" w:eastAsia="Times New Roman" w:hAnsi="Times New Roman"/>
          <w:b w:val="false"/>
          <w:bCs w:val="false"/>
          <w:i w:val="false"/>
          <w:iCs w:val="false"/>
          <w:color w:val="000000"/>
          <w:sz w:val="24"/>
          <w:szCs w:val="24"/>
        </w:rPr>
        <w:t xml:space="preserve">Подайте заявление в полицию (ст. 159 УК РФ — мошенничество), приложив переписку, реквизиты и копии платежей; направьте жалобу в интернет-приёмную Банка России (cbr.ru/reception) и в проект «ФинЗОЖ»/«Финграм»; предупредите знакомых участников.</w:t>
      </w:r>
    </w:p>
    <w:p>
      <w:pPr>
        <w:spacing w:after="80" w:line="312"/>
        <w:ind w:firstLine="709"/>
        <w:jc w:val="both"/>
      </w:pPr>
      <w:r>
        <w:rPr>
          <w:rFonts w:ascii="Times New Roman" w:cs="Times New Roman" w:eastAsia="Times New Roman" w:hAnsi="Times New Roman"/>
          <w:b w:val="false"/>
          <w:bCs w:val="false"/>
          <w:i w:val="false"/>
          <w:iCs w:val="false"/>
          <w:color w:val="000000"/>
          <w:sz w:val="24"/>
          <w:szCs w:val="24"/>
        </w:rPr>
        <w:t xml:space="preserve"/>
      </w:r>
      <w:r>
        <w:rPr>
          <w:rFonts w:ascii="Times New Roman" w:cs="Times New Roman" w:eastAsia="Times New Roman" w:hAnsi="Times New Roman"/>
          <w:b/>
          <w:bCs/>
          <w:i w:val="false"/>
          <w:iCs w:val="false"/>
          <w:color w:val="000000"/>
          <w:sz w:val="24"/>
          <w:szCs w:val="24"/>
        </w:rPr>
        <w:t xml:space="preserve">Ограничение ответственности.</w:t>
      </w:r>
      <w:r>
        <w:rPr>
          <w:rFonts w:ascii="Times New Roman" w:cs="Times New Roman" w:eastAsia="Times New Roman" w:hAnsi="Times New Roman"/>
          <w:b w:val="false"/>
          <w:bCs w:val="false"/>
          <w:i w:val="false"/>
          <w:iCs w:val="false"/>
          <w:color w:val="000000"/>
          <w:sz w:val="24"/>
          <w:szCs w:val="24"/>
        </w:rPr>
        <w:t xml:space="preserve"> Отчёт подготовлен по открытым источникам на 01.11.2026 и носит информационно-аналитический характер, не является юридическим заключением: квалификацию деятельности дают Банк России, суд и правоохранительные органы. Вывод о риске основан на совокупности проверяемых фактов разделов 3–7.</w:t>
      </w:r>
    </w:p>
    <w:p>
      <w:pPr>
        <w:pStyle w:val="Heading1"/>
        <w:spacing w:after="120" w:before="240" w:line="312"/>
      </w:pPr>
      <w:r>
        <w:rPr>
          <w:rFonts w:ascii="Arial" w:cs="Arial" w:eastAsia="Arial" w:hAnsi="Arial"/>
          <w:b/>
          <w:bCs/>
          <w:color w:val="1F3A5F"/>
          <w:sz w:val="30"/>
          <w:szCs w:val="30"/>
        </w:rPr>
        <w:t xml:space="preserve">9. Источники</w:t>
      </w:r>
    </w:p>
    <w:p>
      <w:pPr>
        <w:spacing w:after="10" w:line="312"/>
        <w:jc w:val="left"/>
      </w:pPr>
      <w:r>
        <w:rPr>
          <w:rFonts w:ascii="Arial" w:cs="Arial" w:eastAsia="Arial" w:hAnsi="Arial"/>
          <w:color w:val="5A6B7C"/>
          <w:sz w:val="16"/>
          <w:szCs w:val="16"/>
        </w:rPr>
        <w:t xml:space="preserve">1. golddek.com — страницы «Стоимость», «О компании», «Сведения об образовательной организации»; tapwork.ru — главная; myschool.team (проверены 31.10.2026).</w:t>
      </w:r>
    </w:p>
    <w:p>
      <w:pPr>
        <w:spacing w:after="10" w:line="312"/>
        <w:jc w:val="left"/>
      </w:pPr>
      <w:r>
        <w:rPr>
          <w:rFonts w:ascii="Arial" w:cs="Arial" w:eastAsia="Arial" w:hAnsi="Arial"/>
          <w:color w:val="5A6B7C"/>
          <w:sz w:val="16"/>
          <w:szCs w:val="16"/>
        </w:rPr>
        <w:t xml:space="preserve">2. Маркетинг-план GoldDek (PDF, 28 с.), договор оферты (PDF, 28 с.), пользовательское соглашение (PDF) — golddek.com/dokument/</w:t>
      </w:r>
    </w:p>
    <w:p>
      <w:pPr>
        <w:spacing w:after="10" w:line="312"/>
        <w:jc w:val="left"/>
      </w:pPr>
      <w:r>
        <w:rPr>
          <w:rFonts w:ascii="Arial" w:cs="Arial" w:eastAsia="Arial" w:hAnsi="Arial"/>
          <w:color w:val="5A6B7C"/>
          <w:sz w:val="16"/>
          <w:szCs w:val="16"/>
        </w:rPr>
        <w:t xml:space="preserve">3. WHOIS/RDAP: Verisign (golddek.com), TCI (tapwork.ru); DNS и хостинги — Beget, VK Cloud (31.10.2026).</w:t>
      </w:r>
    </w:p>
    <w:p>
      <w:pPr>
        <w:spacing w:after="10" w:line="312"/>
        <w:jc w:val="left"/>
      </w:pPr>
      <w:r>
        <w:rPr>
          <w:rFonts w:ascii="Arial" w:cs="Arial" w:eastAsia="Arial" w:hAnsi="Arial"/>
          <w:color w:val="5A6B7C"/>
          <w:sz w:val="16"/>
          <w:szCs w:val="16"/>
        </w:rPr>
        <w:t xml:space="preserve">4. Rusprofile, Audit-it, СБИС — ООО «ЛЮМИНАР ТЕХНОЛОДЖИС», ОГРН 1255900005569; Т-Банк «Контрагенты» — ООО «ДЕК ГОЛДДЕК ГРУПП», ОГРН 1215900022623.</w:t>
      </w:r>
    </w:p>
    <w:p>
      <w:pPr>
        <w:spacing w:after="10" w:line="312"/>
        <w:jc w:val="left"/>
      </w:pPr>
      <w:r>
        <w:rPr>
          <w:rFonts w:ascii="Arial" w:cs="Arial" w:eastAsia="Arial" w:hAnsi="Arial"/>
          <w:color w:val="5A6B7C"/>
          <w:sz w:val="16"/>
          <w:szCs w:val="16"/>
        </w:rPr>
        <w:t xml:space="preserve">5. Otzovik — «Компания Golddek»: otzovik.com/reviews/kompaniya_golddek_russia_sankt-peterburg/ (15 отзывов, окт. 2024 — янв. 2026); loxotrona.net; страница отзывов Т-Банка.</w:t>
      </w:r>
    </w:p>
    <w:p>
      <w:pPr>
        <w:spacing w:after="10" w:line="312"/>
        <w:jc w:val="left"/>
      </w:pPr>
      <w:r>
        <w:rPr>
          <w:rFonts w:ascii="Arial" w:cs="Arial" w:eastAsia="Arial" w:hAnsi="Arial"/>
          <w:color w:val="5A6B7C"/>
          <w:sz w:val="16"/>
          <w:szCs w:val="16"/>
        </w:rPr>
        <w:t xml:space="preserve">6. Банк России — список компаний с признаками нелегальной деятельности: cbr.ru/inside/warning-list/; Wayback Machine (web.archive.org).</w:t>
      </w:r>
    </w:p>
    <w:sectPr>
      <w:headerReference w:type="default" r:id="rId6"/>
      <w:footerReference w:type="default" r:id="rId7"/>
      <w:type w:val="nextPage"/>
      <w:pgSz w:w="11906" w:h="16838" w:orient="portrait"/>
      <w:pgMar w:top="1440" w:right="1417" w:bottom="1440" w:left="1701" w:header="708" w:footer="708"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8"/>
        <w:szCs w:val="18"/>
      </w:rPr>
      <w:fldChar w:fldCharType="begin"/>
    </w:r>
    <w:r>
      <w:rPr>
        <w:rFonts w:ascii="Arial" w:cs="Arial" w:eastAsia="Arial" w:hAnsi="Arial"/>
        <w:color w:val="808080"/>
        <w:sz w:val="18"/>
        <w:szCs w:val="18"/>
      </w:rPr>
      <w:instrText xml:space="preserve">PAGE</w:instrText>
    </w:r>
    <w:r>
      <w:rPr>
        <w:rFonts w:ascii="Arial" w:cs="Arial" w:eastAsia="Arial" w:hAnsi="Arial"/>
        <w:color w:val="808080"/>
        <w:sz w:val="18"/>
        <w:szCs w:val="18"/>
      </w:rPr>
      <w:fldChar w:fldCharType="separate"/>
    </w:r>
    <w:r>
      <w:rPr>
        <w:rFonts w:ascii="Arial" w:cs="Arial" w:eastAsia="Arial" w:hAnsi="Arial"/>
        <w:color w:val="80808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4A0"/>
        <w:sz w:val="16"/>
        <w:szCs w:val="16"/>
      </w:rPr>
      <w:t xml:space="preserve">GOLDDEK / Тап Ворк — экспресс-досье · 01.11.2026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00" w:hanging="360"/>
      </w:pPr>
    </w:lvl>
  </w:abstractNum>
  <w:abstractNum w:abstractNumId="3" w15:restartNumberingAfterBreak="0">
    <w:multiLevelType w:val="hybridMultilevel"/>
    <w:lvl w:ilvl="0" w:tentative="1">
      <w:start w:val="1"/>
      <w:numFmt w:val="decimal"/>
      <w:lvlText w:val="%1."/>
      <w:lvlJc w:val="left"/>
      <w:pPr>
        <w:ind w:left="50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line="312"/>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line="312"/>
    </w:pPr>
    <w:rPr>
      <w:rFonts w:ascii="Arial" w:cs="Arial" w:eastAsia="Arial" w:hAnsi="Arial"/>
      <w:b/>
      <w:bCs/>
      <w:color w:val="1F3A5F"/>
      <w:sz w:val="30"/>
      <w:szCs w:val="30"/>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2026-10-31T16:41:46.307Z</dcterms:created>
  <dcterms:modified xsi:type="dcterms:W3CDTF">2026-10-31T16:41:46.308Z</dcterms:modified>
</cp:coreProperties>
</file>

<file path=docProps/custom.xml><?xml version="1.0" encoding="utf-8"?>
<Properties xmlns="http://schemas.openxmlformats.org/officeDocument/2006/custom-properties" xmlns:vt="http://schemas.openxmlformats.org/officeDocument/2006/docPropsVTypes"/>
</file>